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E2" w:rsidRPr="002F5BE2" w:rsidRDefault="002F5BE2" w:rsidP="002F5BE2">
      <w:r w:rsidRPr="002F5BE2">
        <w:t xml:space="preserve">Prestaciones </w:t>
      </w:r>
    </w:p>
    <w:p w:rsidR="002F5BE2" w:rsidRPr="002F5BE2" w:rsidRDefault="002F5BE2" w:rsidP="002F5BE2">
      <w:r w:rsidRPr="002F5BE2">
        <w:rPr>
          <w:b/>
          <w:bCs/>
        </w:rPr>
        <w:t>Fórmula</w:t>
      </w:r>
    </w:p>
    <w:p w:rsidR="002F5BE2" w:rsidRPr="002F5BE2" w:rsidRDefault="002F5BE2" w:rsidP="002F5BE2">
      <w:r w:rsidRPr="002F5BE2">
        <w:rPr>
          <w:b/>
          <w:bCs/>
        </w:rPr>
        <w:t>Norma</w:t>
      </w:r>
    </w:p>
    <w:p w:rsidR="002F5BE2" w:rsidRPr="002F5BE2" w:rsidRDefault="002F5BE2" w:rsidP="002F5BE2">
      <w:r w:rsidRPr="002F5BE2">
        <w:t xml:space="preserve">Ayudas </w:t>
      </w:r>
      <w:proofErr w:type="spellStart"/>
      <w:r w:rsidRPr="002F5BE2">
        <w:rPr>
          <w:b/>
          <w:bCs/>
        </w:rPr>
        <w:t>Cesantias</w:t>
      </w:r>
      <w:proofErr w:type="spellEnd"/>
      <w:r w:rsidRPr="002F5BE2">
        <w:t xml:space="preserve"> </w:t>
      </w:r>
    </w:p>
    <w:p w:rsidR="002F5BE2" w:rsidRPr="002F5BE2" w:rsidRDefault="002F5BE2" w:rsidP="002F5BE2">
      <w:r w:rsidRPr="002F5BE2">
        <w:drawing>
          <wp:inline distT="0" distB="0" distL="0" distR="0">
            <wp:extent cx="2266950" cy="628650"/>
            <wp:effectExtent l="19050" t="0" r="0" b="0"/>
            <wp:docPr id="46" name="Imagen 46" descr="Cesant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esanti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BE2" w:rsidRPr="002F5BE2" w:rsidRDefault="002F5BE2" w:rsidP="002F5BE2">
      <w:r w:rsidRPr="002F5BE2">
        <w:t> </w:t>
      </w:r>
      <w:hyperlink r:id="rId5" w:anchor="249" w:tgtFrame="_blank" w:history="1">
        <w:r w:rsidRPr="002F5BE2">
          <w:rPr>
            <w:rStyle w:val="Hipervnculo"/>
          </w:rPr>
          <w:t xml:space="preserve">Art. 249 C.S.T. </w:t>
        </w:r>
      </w:hyperlink>
      <w:hyperlink r:id="rId6" w:history="1">
        <w:r w:rsidRPr="002F5BE2">
          <w:rPr>
            <w:rStyle w:val="Hipervnculo"/>
          </w:rPr>
          <w:t>Liquidador</w:t>
        </w:r>
      </w:hyperlink>
      <w:r w:rsidRPr="002F5BE2">
        <w:t xml:space="preserve"> </w:t>
      </w:r>
      <w:r w:rsidRPr="002F5BE2">
        <w:rPr>
          <w:b/>
          <w:bCs/>
        </w:rPr>
        <w:t xml:space="preserve">Intereses a las </w:t>
      </w:r>
      <w:proofErr w:type="spellStart"/>
      <w:r w:rsidRPr="002F5BE2">
        <w:rPr>
          <w:b/>
          <w:bCs/>
        </w:rPr>
        <w:t>cesantias</w:t>
      </w:r>
      <w:proofErr w:type="spellEnd"/>
      <w:r w:rsidRPr="002F5BE2">
        <w:t xml:space="preserve"> </w:t>
      </w:r>
      <w:r w:rsidRPr="002F5BE2">
        <w:drawing>
          <wp:inline distT="0" distB="0" distL="0" distR="0">
            <wp:extent cx="2257425" cy="542925"/>
            <wp:effectExtent l="19050" t="0" r="9525" b="0"/>
            <wp:docPr id="47" name="Imagen 47" descr="Intereses a las Cesant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ntereses a las Cesantí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anchor="249" w:tgtFrame="_blank" w:history="1">
        <w:r w:rsidRPr="002F5BE2">
          <w:rPr>
            <w:rStyle w:val="Hipervnculo"/>
          </w:rPr>
          <w:t xml:space="preserve">Art. 249 C.S.T. </w:t>
        </w:r>
      </w:hyperlink>
      <w:hyperlink r:id="rId9" w:history="1">
        <w:r w:rsidRPr="002F5BE2">
          <w:rPr>
            <w:rStyle w:val="Hipervnculo"/>
          </w:rPr>
          <w:t>Liquidador</w:t>
        </w:r>
      </w:hyperlink>
      <w:r w:rsidRPr="002F5BE2">
        <w:t xml:space="preserve"> </w:t>
      </w:r>
      <w:r w:rsidRPr="002F5BE2">
        <w:rPr>
          <w:b/>
          <w:bCs/>
        </w:rPr>
        <w:t>Prima de Servicios</w:t>
      </w:r>
      <w:r w:rsidRPr="002F5BE2">
        <w:rPr>
          <w:b/>
          <w:bCs/>
        </w:rPr>
        <w:br/>
        <w:t>(Por cualquier tiempo trabajado)</w:t>
      </w:r>
      <w:r w:rsidRPr="002F5BE2">
        <w:t xml:space="preserve"> </w:t>
      </w:r>
      <w:r w:rsidRPr="002F5BE2">
        <w:drawing>
          <wp:inline distT="0" distB="0" distL="0" distR="0">
            <wp:extent cx="2705100" cy="609600"/>
            <wp:effectExtent l="19050" t="0" r="0" b="0"/>
            <wp:docPr id="48" name="Imagen 48" descr="Prima de serv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rima de servici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anchor="306" w:tgtFrame="_blank" w:history="1">
        <w:r w:rsidRPr="002F5BE2">
          <w:rPr>
            <w:rStyle w:val="Hipervnculo"/>
          </w:rPr>
          <w:t xml:space="preserve"> Art. 306 C.S.T. </w:t>
        </w:r>
      </w:hyperlink>
      <w:hyperlink r:id="rId12" w:history="1">
        <w:r w:rsidRPr="002F5BE2">
          <w:rPr>
            <w:rStyle w:val="Hipervnculo"/>
          </w:rPr>
          <w:t>Liquidador</w:t>
        </w:r>
      </w:hyperlink>
      <w:r w:rsidRPr="002F5BE2">
        <w:t xml:space="preserve"> </w:t>
      </w:r>
      <w:r w:rsidRPr="002F5BE2">
        <w:rPr>
          <w:b/>
          <w:bCs/>
        </w:rPr>
        <w:t>Vacaciones (Por cualquier tiempo trabajado)</w:t>
      </w:r>
      <w:r w:rsidRPr="002F5BE2">
        <w:t xml:space="preserve"> </w:t>
      </w:r>
      <w:r w:rsidRPr="002F5BE2">
        <w:drawing>
          <wp:inline distT="0" distB="0" distL="0" distR="0">
            <wp:extent cx="2533650" cy="533400"/>
            <wp:effectExtent l="19050" t="0" r="0" b="0"/>
            <wp:docPr id="49" name="Imagen 49" descr="Va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Vacacion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anchor="186" w:tgtFrame="_blank" w:history="1">
        <w:r w:rsidRPr="002F5BE2">
          <w:rPr>
            <w:rStyle w:val="Hipervnculo"/>
          </w:rPr>
          <w:t>Art.186, C.S.T</w:t>
        </w:r>
      </w:hyperlink>
      <w:r w:rsidRPr="002F5BE2">
        <w:t xml:space="preserve"> </w:t>
      </w:r>
      <w:hyperlink r:id="rId15" w:history="1">
        <w:r w:rsidRPr="002F5BE2">
          <w:rPr>
            <w:rStyle w:val="Hipervnculo"/>
          </w:rPr>
          <w:t>Liquidador</w:t>
        </w:r>
      </w:hyperlink>
      <w:r w:rsidRPr="002F5BE2">
        <w:t xml:space="preserve"> </w:t>
      </w:r>
      <w:r w:rsidRPr="002F5BE2">
        <w:rPr>
          <w:b/>
          <w:bCs/>
        </w:rPr>
        <w:t>Trabajo Nocturno entre las 10 p.m. y las 6 a.m.</w:t>
      </w:r>
      <w:r w:rsidRPr="002F5BE2">
        <w:t xml:space="preserve"> </w:t>
      </w:r>
    </w:p>
    <w:p w:rsidR="002F5BE2" w:rsidRPr="002F5BE2" w:rsidRDefault="002F5BE2" w:rsidP="002F5BE2">
      <w:r w:rsidRPr="002F5BE2">
        <w:t xml:space="preserve">Hora ordinaria </w:t>
      </w:r>
      <w:r w:rsidRPr="002F5BE2">
        <w:rPr>
          <w:b/>
          <w:bCs/>
        </w:rPr>
        <w:t xml:space="preserve">X </w:t>
      </w:r>
      <w:r w:rsidRPr="002F5BE2">
        <w:t>0.35</w:t>
      </w:r>
    </w:p>
    <w:p w:rsidR="002F5BE2" w:rsidRPr="002F5BE2" w:rsidRDefault="002F5BE2" w:rsidP="002F5BE2">
      <w:hyperlink r:id="rId16" w:anchor="168" w:tgtFrame="_blank" w:history="1">
        <w:r w:rsidRPr="002F5BE2">
          <w:rPr>
            <w:rStyle w:val="Hipervnculo"/>
          </w:rPr>
          <w:t>Art. 168 C.S.T.</w:t>
        </w:r>
      </w:hyperlink>
      <w:r w:rsidRPr="002F5BE2">
        <w:t xml:space="preserve">   </w:t>
      </w:r>
      <w:r w:rsidRPr="002F5BE2">
        <w:rPr>
          <w:b/>
          <w:bCs/>
        </w:rPr>
        <w:t>Hora Extra Diurna entre las 6 a.m. y las 10 p.m.</w:t>
      </w:r>
      <w:r w:rsidRPr="002F5BE2">
        <w:t xml:space="preserve"> </w:t>
      </w:r>
      <w:r w:rsidRPr="002F5BE2">
        <w:drawing>
          <wp:inline distT="0" distB="0" distL="0" distR="0">
            <wp:extent cx="1628775" cy="895350"/>
            <wp:effectExtent l="19050" t="0" r="9525" b="0"/>
            <wp:docPr id="50" name="Imagen 50" descr="Hora Extra Diurna entre las 6 a.m. y las 10 p.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ora Extra Diurna entre las 6 a.m. y las 10 p.m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anchor="168" w:tgtFrame="_blank" w:history="1">
        <w:r w:rsidRPr="002F5BE2">
          <w:rPr>
            <w:rStyle w:val="Hipervnculo"/>
          </w:rPr>
          <w:t>Art. 168 C.S.T.</w:t>
        </w:r>
      </w:hyperlink>
      <w:r w:rsidRPr="002F5BE2">
        <w:t xml:space="preserve"> </w:t>
      </w:r>
      <w:hyperlink r:id="rId19" w:history="1">
        <w:r w:rsidRPr="002F5BE2">
          <w:rPr>
            <w:rStyle w:val="Hipervnculo"/>
          </w:rPr>
          <w:t>Liquidador</w:t>
        </w:r>
      </w:hyperlink>
      <w:r w:rsidRPr="002F5BE2">
        <w:t xml:space="preserve"> </w:t>
      </w:r>
      <w:r w:rsidRPr="002F5BE2">
        <w:rPr>
          <w:b/>
          <w:bCs/>
        </w:rPr>
        <w:t>Hora Extra Nocturna entre las 10 P.M. y las 6 A.M.</w:t>
      </w:r>
      <w:r w:rsidRPr="002F5BE2">
        <w:t xml:space="preserve"> </w:t>
      </w:r>
      <w:r w:rsidRPr="002F5BE2">
        <w:drawing>
          <wp:inline distT="0" distB="0" distL="0" distR="0">
            <wp:extent cx="1562100" cy="885825"/>
            <wp:effectExtent l="19050" t="0" r="0" b="0"/>
            <wp:docPr id="51" name="Imagen 51" descr="Hora Extra Nocturna entre las 10 P.M. y las 6 A.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ora Extra Nocturna entre las 10 P.M. y las 6 A.M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anchor="168" w:tgtFrame="_blank" w:history="1">
        <w:r w:rsidRPr="002F5BE2">
          <w:rPr>
            <w:rStyle w:val="Hipervnculo"/>
          </w:rPr>
          <w:t>Art. 168 C.S.T.</w:t>
        </w:r>
      </w:hyperlink>
      <w:r w:rsidRPr="002F5BE2">
        <w:t xml:space="preserve"> </w:t>
      </w:r>
      <w:hyperlink r:id="rId22" w:history="1">
        <w:r w:rsidRPr="002F5BE2">
          <w:rPr>
            <w:rStyle w:val="Hipervnculo"/>
          </w:rPr>
          <w:t>Liquidador</w:t>
        </w:r>
      </w:hyperlink>
      <w:r w:rsidRPr="002F5BE2">
        <w:t xml:space="preserve"> </w:t>
      </w:r>
      <w:r w:rsidRPr="002F5BE2">
        <w:rPr>
          <w:b/>
          <w:bCs/>
        </w:rPr>
        <w:t>Hora ordinaria, Dominical o Festivo</w:t>
      </w:r>
      <w:r w:rsidRPr="002F5BE2">
        <w:t xml:space="preserve"> </w:t>
      </w:r>
      <w:r w:rsidRPr="002F5BE2">
        <w:drawing>
          <wp:inline distT="0" distB="0" distL="0" distR="0">
            <wp:extent cx="1533525" cy="1009650"/>
            <wp:effectExtent l="19050" t="0" r="9525" b="0"/>
            <wp:docPr id="52" name="Imagen 52" descr="Hora ordinaria, Dominical o Fes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ora ordinaria, Dominical o Festivo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BE2">
        <w:t> </w:t>
      </w:r>
      <w:hyperlink r:id="rId24" w:anchor="179" w:tgtFrame="_blank" w:history="1">
        <w:r w:rsidRPr="002F5BE2">
          <w:rPr>
            <w:rStyle w:val="Hipervnculo"/>
          </w:rPr>
          <w:t>Art. 179 C.S.T.</w:t>
        </w:r>
      </w:hyperlink>
      <w:r w:rsidRPr="002F5BE2">
        <w:t xml:space="preserve"> </w:t>
      </w:r>
      <w:hyperlink r:id="rId25" w:history="1">
        <w:r w:rsidRPr="002F5BE2">
          <w:rPr>
            <w:rStyle w:val="Hipervnculo"/>
          </w:rPr>
          <w:t>Liquidador</w:t>
        </w:r>
      </w:hyperlink>
      <w:r w:rsidRPr="002F5BE2">
        <w:t xml:space="preserve"> </w:t>
      </w:r>
      <w:r w:rsidRPr="002F5BE2">
        <w:rPr>
          <w:b/>
          <w:bCs/>
        </w:rPr>
        <w:t>Hora Extra Diurna en dominical o Festivo</w:t>
      </w:r>
      <w:r w:rsidRPr="002F5BE2">
        <w:t xml:space="preserve"> </w:t>
      </w:r>
      <w:r w:rsidRPr="002F5BE2">
        <w:lastRenderedPageBreak/>
        <w:drawing>
          <wp:inline distT="0" distB="0" distL="0" distR="0">
            <wp:extent cx="1447800" cy="904875"/>
            <wp:effectExtent l="19050" t="0" r="0" b="0"/>
            <wp:docPr id="53" name="Imagen 53" descr="Hora Extra Diurna en dominical o Fes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ora Extra Diurna en dominical o Festivo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anchor="179" w:tgtFrame="_blank" w:history="1">
        <w:r w:rsidRPr="002F5BE2">
          <w:rPr>
            <w:rStyle w:val="Hipervnculo"/>
          </w:rPr>
          <w:t> Art. 179 C.S.T.</w:t>
        </w:r>
      </w:hyperlink>
      <w:r w:rsidRPr="002F5BE2">
        <w:t xml:space="preserve"> </w:t>
      </w:r>
      <w:hyperlink r:id="rId28" w:history="1">
        <w:r w:rsidRPr="002F5BE2">
          <w:rPr>
            <w:rStyle w:val="Hipervnculo"/>
          </w:rPr>
          <w:t>Liquidador</w:t>
        </w:r>
      </w:hyperlink>
      <w:r w:rsidRPr="002F5BE2">
        <w:t xml:space="preserve"> </w:t>
      </w:r>
      <w:r w:rsidRPr="002F5BE2">
        <w:rPr>
          <w:b/>
          <w:bCs/>
        </w:rPr>
        <w:t>Hora Extra Nocturna en Dominical o Festivo</w:t>
      </w:r>
      <w:r w:rsidRPr="002F5BE2">
        <w:t xml:space="preserve"> </w:t>
      </w:r>
      <w:r w:rsidRPr="002F5BE2">
        <w:drawing>
          <wp:inline distT="0" distB="0" distL="0" distR="0">
            <wp:extent cx="1524000" cy="1019175"/>
            <wp:effectExtent l="19050" t="0" r="0" b="0"/>
            <wp:docPr id="54" name="Imagen 54" descr="Hora Extra Nocturna en Dominical o Fes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ora Extra Nocturna en Dominical o Festivo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BE2">
        <w:t> </w:t>
      </w:r>
      <w:hyperlink r:id="rId30" w:anchor="179" w:tgtFrame="_blank" w:history="1">
        <w:r w:rsidRPr="002F5BE2">
          <w:rPr>
            <w:rStyle w:val="Hipervnculo"/>
          </w:rPr>
          <w:t>Art. 179 C.S.T.</w:t>
        </w:r>
      </w:hyperlink>
      <w:r w:rsidRPr="002F5BE2">
        <w:t xml:space="preserve"> </w:t>
      </w:r>
      <w:hyperlink r:id="rId31" w:history="1">
        <w:r w:rsidRPr="002F5BE2">
          <w:rPr>
            <w:rStyle w:val="Hipervnculo"/>
          </w:rPr>
          <w:t>Liquidador</w:t>
        </w:r>
      </w:hyperlink>
      <w:r w:rsidRPr="002F5BE2">
        <w:t xml:space="preserve"> </w:t>
      </w:r>
      <w:r w:rsidRPr="002F5BE2">
        <w:rPr>
          <w:b/>
          <w:bCs/>
        </w:rPr>
        <w:t>Indemnización</w:t>
      </w:r>
      <w:r w:rsidRPr="002F5BE2">
        <w:rPr>
          <w:b/>
          <w:bCs/>
        </w:rPr>
        <w:br/>
        <w:t>(Contrato a Término Fijo)</w:t>
      </w:r>
      <w:r w:rsidRPr="002F5BE2">
        <w:t xml:space="preserve"> </w:t>
      </w:r>
    </w:p>
    <w:p w:rsidR="002F5BE2" w:rsidRPr="002F5BE2" w:rsidRDefault="002F5BE2" w:rsidP="002F5BE2">
      <w:r w:rsidRPr="002F5BE2">
        <w:t>El valor de los salarios que falten para la terminación del contrato.</w:t>
      </w:r>
    </w:p>
    <w:p w:rsidR="002F5BE2" w:rsidRPr="002F5BE2" w:rsidRDefault="002F5BE2" w:rsidP="002F5BE2">
      <w:r w:rsidRPr="002F5BE2">
        <w:t> </w:t>
      </w:r>
      <w:hyperlink r:id="rId32" w:anchor="64" w:tgtFrame="_blank" w:history="1">
        <w:r w:rsidRPr="002F5BE2">
          <w:rPr>
            <w:rStyle w:val="Hipervnculo"/>
          </w:rPr>
          <w:t>Art. 64 C.S.T.</w:t>
        </w:r>
      </w:hyperlink>
      <w:r w:rsidRPr="002F5BE2">
        <w:t xml:space="preserve">   </w:t>
      </w:r>
      <w:r w:rsidRPr="002F5BE2">
        <w:rPr>
          <w:b/>
          <w:bCs/>
        </w:rPr>
        <w:t>Indemnización **</w:t>
      </w:r>
      <w:r w:rsidRPr="002F5BE2">
        <w:rPr>
          <w:b/>
          <w:bCs/>
        </w:rPr>
        <w:br/>
        <w:t>(Contrato a Término Indefinido)</w:t>
      </w:r>
      <w:r w:rsidRPr="002F5BE2">
        <w:t xml:space="preserve"> </w:t>
      </w:r>
    </w:p>
    <w:p w:rsidR="002F5BE2" w:rsidRPr="002F5BE2" w:rsidRDefault="002F5BE2" w:rsidP="002F5BE2">
      <w:r w:rsidRPr="002F5BE2">
        <w:t xml:space="preserve">Para salarios inferiores a 10 mínimos: 30 días por el primer año y 20 días por cada año siguiente o </w:t>
      </w:r>
      <w:proofErr w:type="spellStart"/>
      <w:r w:rsidRPr="002F5BE2">
        <w:t>proporción.Más</w:t>
      </w:r>
      <w:proofErr w:type="spellEnd"/>
      <w:r w:rsidRPr="002F5BE2">
        <w:t xml:space="preserve"> de 10 salarios mínimos: 20 días por el primer año y 15 por cada uno de los siguientes o proporción</w:t>
      </w:r>
    </w:p>
    <w:p w:rsidR="00C37ECE" w:rsidRDefault="002F5BE2" w:rsidP="002F5BE2">
      <w:hyperlink r:id="rId33" w:anchor="64" w:tgtFrame="_blank" w:history="1">
        <w:r w:rsidRPr="002F5BE2">
          <w:rPr>
            <w:rStyle w:val="Hipervnculo"/>
          </w:rPr>
          <w:t>Art. 64 C.S.T.</w:t>
        </w:r>
      </w:hyperlink>
      <w:r w:rsidRPr="002F5BE2">
        <w:t xml:space="preserve">   (*) Cuando en la fórmula aparece Salario Mensual equivale al salario con todos los factores que lo constituyen. Por ejemplo: auxilio de transporte</w:t>
      </w:r>
      <w:proofErr w:type="gramStart"/>
      <w:r w:rsidRPr="002F5BE2">
        <w:t>.(</w:t>
      </w:r>
      <w:proofErr w:type="gramEnd"/>
      <w:r w:rsidRPr="002F5BE2">
        <w:t>**) Para el caso de los trabajadores que lleven 10 años o más a 27 de diciembre de 2002 la indemnización se liquidará con la tabla anterior.</w:t>
      </w:r>
    </w:p>
    <w:sectPr w:rsidR="00C37ECE" w:rsidSect="00C37E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BE2"/>
    <w:rsid w:val="002F5BE2"/>
    <w:rsid w:val="00C3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C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5BE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retariasenado.gov.co/senado/basedoc/codigo/codigo_sustantivo_trabajo_pr008.html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secretariasenado.gov.co/senado/basedoc/codigo/codigo_sustantivo_trabajo_pr005.html" TargetMode="External"/><Relationship Id="rId26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://www.secretariasenado.gov.co/senado/basedoc/codigo/codigo_sustantivo_trabajo_pr005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actualicese.com/modelos-y-formatos/liquidador-de-prima-de-servicios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actualicese.com/modelos-y-formatos/liquidador-liquidacion-de-horas-nocturnas-extras-dominicales-y-festivos/" TargetMode="External"/><Relationship Id="rId33" Type="http://schemas.openxmlformats.org/officeDocument/2006/relationships/hyperlink" Target="http://www.secretariasenado.gov.co/senado/basedoc/codigo/codigo_sustantivo_trabajo_pr00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cretariasenado.gov.co/senado/basedoc/codigo/codigo_sustantivo_trabajo_pr005.html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www.actualicese.com/modelos-y-formatos/liquidador-liquidador-de-cesantias/" TargetMode="External"/><Relationship Id="rId11" Type="http://schemas.openxmlformats.org/officeDocument/2006/relationships/hyperlink" Target="http://www.secretariasenado.gov.co/senado/basedoc/codigo/codigo_sustantivo_trabajo_pr010.html" TargetMode="External"/><Relationship Id="rId24" Type="http://schemas.openxmlformats.org/officeDocument/2006/relationships/hyperlink" Target="http://www.secretariasenado.gov.co/senado/basedoc/codigo/codigo_sustantivo_trabajo_pr006.html" TargetMode="External"/><Relationship Id="rId32" Type="http://schemas.openxmlformats.org/officeDocument/2006/relationships/hyperlink" Target="http://www.secretariasenado.gov.co/senado/basedoc/codigo/codigo_sustantivo_trabajo_pr002.html" TargetMode="External"/><Relationship Id="rId5" Type="http://schemas.openxmlformats.org/officeDocument/2006/relationships/hyperlink" Target="http://www.secretariasenado.gov.co/senado/basedoc/codigo/codigo_sustantivo_trabajo_pr008.html" TargetMode="External"/><Relationship Id="rId15" Type="http://schemas.openxmlformats.org/officeDocument/2006/relationships/hyperlink" Target="http://www.actualicese.com/modelos-y-formatos/liquidador-de-vacaciones/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actualicese.com/modelos-y-formatos/liquidador-liquidacion-de-horas-nocturnas-extras-dominicales-y-festivos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actualicese.com/modelos-y-formatos/liquidador-liquidacion-de-horas-nocturnas-extras-dominicales-y-festivos/" TargetMode="External"/><Relationship Id="rId31" Type="http://schemas.openxmlformats.org/officeDocument/2006/relationships/hyperlink" Target="http://www.actualicese.com/modelos-y-formatos/liquidador-liquidacion-de-horas-nocturnas-extras-dominicales-y-festivo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ctualicese.com/modelos-y-formatos/liquidador-liquidador-de-cesantias/" TargetMode="External"/><Relationship Id="rId14" Type="http://schemas.openxmlformats.org/officeDocument/2006/relationships/hyperlink" Target="http://www.secretariasenado.gov.co/senado/basedoc/codigo/codigo_sustantivo_trabajo_pr006.html" TargetMode="External"/><Relationship Id="rId22" Type="http://schemas.openxmlformats.org/officeDocument/2006/relationships/hyperlink" Target="http://www.actualicese.com/modelos-y-formatos/liquidador-liquidacion-de-horas-nocturnas-extras-dominicales-y-festivos/" TargetMode="External"/><Relationship Id="rId27" Type="http://schemas.openxmlformats.org/officeDocument/2006/relationships/hyperlink" Target="http://www.secretariasenado.gov.co/senado/basedoc/codigo/codigo_sustantivo_trabajo_pr006.html" TargetMode="External"/><Relationship Id="rId30" Type="http://schemas.openxmlformats.org/officeDocument/2006/relationships/hyperlink" Target="http://www.secretariasenado.gov.co/senado/basedoc/codigo/codigo_sustantivo_trabajo_pr006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2009-12-09T22:04:00Z</dcterms:created>
  <dcterms:modified xsi:type="dcterms:W3CDTF">2009-12-09T22:06:00Z</dcterms:modified>
</cp:coreProperties>
</file>